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E2CB" w14:textId="3A671516" w:rsidR="00975121" w:rsidRPr="004C43E2" w:rsidRDefault="004C43E2" w:rsidP="004C43E2">
      <w:pPr>
        <w:jc w:val="center"/>
        <w:rPr>
          <w:b/>
          <w:bCs/>
        </w:rPr>
      </w:pPr>
      <w:r>
        <w:rPr>
          <w:b/>
          <w:bCs/>
        </w:rPr>
        <w:t xml:space="preserve">PROCESAMIENTO Y SISTEMATIZACIÓN </w:t>
      </w:r>
      <w:r w:rsidRPr="00975121">
        <w:rPr>
          <w:b/>
          <w:bCs/>
        </w:rPr>
        <w:t>DEL GRUPO FOCAL</w:t>
      </w:r>
    </w:p>
    <w:p w14:paraId="30594483" w14:textId="0B7BE5CC" w:rsidR="00975121" w:rsidRPr="001614AC" w:rsidRDefault="001614AC" w:rsidP="004C43E2">
      <w:pPr>
        <w:jc w:val="both"/>
        <w:rPr>
          <w:b/>
          <w:bCs/>
        </w:rPr>
      </w:pPr>
      <w:r w:rsidRPr="001614AC">
        <w:rPr>
          <w:b/>
          <w:bCs/>
        </w:rPr>
        <w:t xml:space="preserve">I. Categorías analíticas y subcategorías </w:t>
      </w:r>
    </w:p>
    <w:p w14:paraId="5F65786D" w14:textId="682A6E8A" w:rsidR="00975121" w:rsidRPr="001614AC" w:rsidRDefault="00975121" w:rsidP="004C43E2">
      <w:pPr>
        <w:jc w:val="both"/>
        <w:rPr>
          <w:b/>
          <w:bCs/>
        </w:rPr>
      </w:pPr>
      <w:r w:rsidRPr="001614AC">
        <w:rPr>
          <w:b/>
          <w:bCs/>
        </w:rPr>
        <w:t>1. Análisis estratégico legislativo</w:t>
      </w:r>
    </w:p>
    <w:p w14:paraId="2650332F" w14:textId="3EDF99D8" w:rsidR="00975121" w:rsidRPr="001614AC" w:rsidRDefault="00975121" w:rsidP="004C43E2">
      <w:pPr>
        <w:jc w:val="both"/>
        <w:rPr>
          <w:b/>
          <w:bCs/>
        </w:rPr>
      </w:pPr>
      <w:r w:rsidRPr="001614AC">
        <w:rPr>
          <w:b/>
          <w:bCs/>
        </w:rPr>
        <w:t>1.1. Estrategias de relacionamiento y gobernanza legislativa</w:t>
      </w:r>
    </w:p>
    <w:p w14:paraId="6DC85163" w14:textId="56DBB284" w:rsidR="00975121" w:rsidRDefault="001614AC" w:rsidP="004C43E2">
      <w:pPr>
        <w:jc w:val="both"/>
      </w:pPr>
      <w:r>
        <w:t>C</w:t>
      </w:r>
      <w:r w:rsidR="00975121">
        <w:t xml:space="preserve">onjunto de prácticas, dispositivos y decisiones mediante las cuales el Ministerio </w:t>
      </w:r>
      <w:r w:rsidR="005E53BF">
        <w:t xml:space="preserve">de Minas y Energía </w:t>
      </w:r>
      <w:r w:rsidR="00975121">
        <w:t xml:space="preserve">y sus entidades </w:t>
      </w:r>
      <w:r w:rsidR="005E53BF">
        <w:t>adscritas y vinculadas</w:t>
      </w:r>
      <w:r w:rsidR="00975121">
        <w:t xml:space="preserve"> buscan gestionar la relación con el Congreso. Incluye acciones orientadas a construir canales estables de diálogo (reuniones con congresistas, equipos y secretarios de comisión), segmentar temáticamente la interlocución (minería, energía, gas), desarrollar espacios de </w:t>
      </w:r>
      <w:r w:rsidR="005E53BF">
        <w:t>diálogo coyuntural</w:t>
      </w:r>
      <w:r w:rsidR="00975121">
        <w:t xml:space="preserve"> sobre el sector y articular alianzas con otros actores institucionales para influir en la agenda y el control político.</w:t>
      </w:r>
    </w:p>
    <w:p w14:paraId="69BD3F64" w14:textId="47BBB141" w:rsidR="00975121" w:rsidRPr="001614AC" w:rsidRDefault="00975121" w:rsidP="004C43E2">
      <w:pPr>
        <w:jc w:val="both"/>
        <w:rPr>
          <w:b/>
          <w:bCs/>
        </w:rPr>
      </w:pPr>
      <w:r w:rsidRPr="001614AC">
        <w:rPr>
          <w:b/>
          <w:bCs/>
        </w:rPr>
        <w:t>1.2. Monitoreo legislativo</w:t>
      </w:r>
    </w:p>
    <w:p w14:paraId="1C35BE1D" w14:textId="6C80D2CC" w:rsidR="00975121" w:rsidRDefault="005E53BF" w:rsidP="004C43E2">
      <w:pPr>
        <w:jc w:val="both"/>
      </w:pPr>
      <w:r>
        <w:t>Son las</w:t>
      </w:r>
      <w:r w:rsidR="00975121">
        <w:t xml:space="preserve"> actividades sistemáticas de seguimiento que realizan las entidades del sector frente a la actividad del Congreso: mapeo de proyectos de ley, revisión de proposiciones de control político, escucha</w:t>
      </w:r>
      <w:r>
        <w:t xml:space="preserve"> atenta</w:t>
      </w:r>
      <w:r w:rsidR="00975121">
        <w:t xml:space="preserve"> </w:t>
      </w:r>
      <w:r>
        <w:t>a las</w:t>
      </w:r>
      <w:r w:rsidR="00975121">
        <w:t xml:space="preserve"> sesiones, registro de solicitudes de información</w:t>
      </w:r>
      <w:r>
        <w:t>,</w:t>
      </w:r>
      <w:r w:rsidR="00975121">
        <w:t xml:space="preserve"> citaciones</w:t>
      </w:r>
      <w:r>
        <w:t>, entre otros</w:t>
      </w:r>
      <w:r w:rsidR="00975121">
        <w:t xml:space="preserve">. </w:t>
      </w:r>
    </w:p>
    <w:p w14:paraId="58011ED2" w14:textId="7B0E0E7A" w:rsidR="00975121" w:rsidRPr="005E53BF" w:rsidRDefault="00975121" w:rsidP="004C43E2">
      <w:pPr>
        <w:jc w:val="both"/>
        <w:rPr>
          <w:b/>
          <w:bCs/>
        </w:rPr>
      </w:pPr>
      <w:r w:rsidRPr="005E53BF">
        <w:rPr>
          <w:b/>
          <w:bCs/>
        </w:rPr>
        <w:t>1.3. Producción de conceptos técnicos</w:t>
      </w:r>
    </w:p>
    <w:p w14:paraId="110737DC" w14:textId="6E97F51B" w:rsidR="00975121" w:rsidRDefault="005E53BF" w:rsidP="004C43E2">
      <w:pPr>
        <w:jc w:val="both"/>
      </w:pPr>
      <w:r>
        <w:t>C</w:t>
      </w:r>
      <w:r w:rsidR="00975121">
        <w:t xml:space="preserve">onceptos sobre proyectos de ley, informes de impacto sectorial, notas técnicas sobre la transición energética y respuestas especializadas a consultas parlamentarias. </w:t>
      </w:r>
    </w:p>
    <w:p w14:paraId="5CF6BF1F" w14:textId="487B12AF" w:rsidR="00975121" w:rsidRPr="005E53BF" w:rsidRDefault="00975121" w:rsidP="004C43E2">
      <w:pPr>
        <w:jc w:val="both"/>
        <w:rPr>
          <w:b/>
          <w:bCs/>
        </w:rPr>
      </w:pPr>
      <w:r w:rsidRPr="005E53BF">
        <w:rPr>
          <w:b/>
          <w:bCs/>
        </w:rPr>
        <w:t>2. Articulación interinstitucional del sector</w:t>
      </w:r>
    </w:p>
    <w:p w14:paraId="076F8E83" w14:textId="56A2F9AE" w:rsidR="00975121" w:rsidRPr="005E53BF" w:rsidRDefault="00975121" w:rsidP="004C43E2">
      <w:pPr>
        <w:jc w:val="both"/>
        <w:rPr>
          <w:b/>
          <w:bCs/>
        </w:rPr>
      </w:pPr>
      <w:r w:rsidRPr="005E53BF">
        <w:rPr>
          <w:b/>
          <w:bCs/>
        </w:rPr>
        <w:t xml:space="preserve">2.1. Coordinación </w:t>
      </w:r>
      <w:proofErr w:type="spellStart"/>
      <w:r w:rsidRPr="005E53BF">
        <w:rPr>
          <w:b/>
          <w:bCs/>
        </w:rPr>
        <w:t>intrasectorial</w:t>
      </w:r>
      <w:proofErr w:type="spellEnd"/>
    </w:p>
    <w:p w14:paraId="5DBADD34" w14:textId="181CA5A6" w:rsidR="00975121" w:rsidRDefault="005E53BF" w:rsidP="004C43E2">
      <w:pPr>
        <w:jc w:val="both"/>
      </w:pPr>
      <w:r>
        <w:t>M</w:t>
      </w:r>
      <w:r w:rsidR="00975121">
        <w:t>ecanismos, problemas y experiencias de coordinación entre las entidades que integran el sector minero</w:t>
      </w:r>
      <w:r w:rsidR="00975121">
        <w:rPr>
          <w:rFonts w:ascii="Cambria Math" w:hAnsi="Cambria Math" w:cs="Cambria Math"/>
        </w:rPr>
        <w:t>‑</w:t>
      </w:r>
      <w:r w:rsidR="00975121">
        <w:t>energético (Ministerio, agencias, empresas públicas, comisiones reguladoras, etc.) frente a solicitudes y presiones del Congreso.</w:t>
      </w:r>
    </w:p>
    <w:p w14:paraId="5B56256B" w14:textId="3CAF58A7" w:rsidR="00975121" w:rsidRPr="005E53BF" w:rsidRDefault="00975121" w:rsidP="004C43E2">
      <w:pPr>
        <w:jc w:val="both"/>
        <w:rPr>
          <w:b/>
          <w:bCs/>
        </w:rPr>
      </w:pPr>
      <w:r w:rsidRPr="005E53BF">
        <w:rPr>
          <w:b/>
          <w:bCs/>
        </w:rPr>
        <w:t>2.2. Tensiones</w:t>
      </w:r>
    </w:p>
    <w:p w14:paraId="12E66B64" w14:textId="1525AAE3" w:rsidR="00975121" w:rsidRDefault="005E53BF" w:rsidP="004C43E2">
      <w:pPr>
        <w:jc w:val="both"/>
      </w:pPr>
      <w:r>
        <w:t>Describe</w:t>
      </w:r>
      <w:r w:rsidR="00975121">
        <w:t xml:space="preserve"> las fricciones, desacuerdos y quiebres entre entidades del mismo sector o </w:t>
      </w:r>
      <w:r>
        <w:t>con otros</w:t>
      </w:r>
      <w:r w:rsidR="00975121">
        <w:t xml:space="preserve"> sectores </w:t>
      </w:r>
      <w:r>
        <w:t>del gobierno</w:t>
      </w:r>
      <w:r w:rsidR="00975121">
        <w:t xml:space="preserve"> (minero</w:t>
      </w:r>
      <w:r w:rsidR="00975121">
        <w:rPr>
          <w:rFonts w:ascii="Cambria Math" w:hAnsi="Cambria Math" w:cs="Cambria Math"/>
        </w:rPr>
        <w:t>‑</w:t>
      </w:r>
      <w:r w:rsidR="00975121">
        <w:t>energ</w:t>
      </w:r>
      <w:r w:rsidR="00975121">
        <w:rPr>
          <w:rFonts w:ascii="Calibri" w:hAnsi="Calibri" w:cs="Calibri"/>
        </w:rPr>
        <w:t>é</w:t>
      </w:r>
      <w:r w:rsidR="00975121">
        <w:t>tico, ambiental, agr</w:t>
      </w:r>
      <w:r w:rsidR="00975121">
        <w:rPr>
          <w:rFonts w:ascii="Calibri" w:hAnsi="Calibri" w:cs="Calibri"/>
        </w:rPr>
        <w:t>í</w:t>
      </w:r>
      <w:r w:rsidR="00975121">
        <w:t>cola, defensa, territorial) que se hacen visibles en el relacionamiento con el Congreso.</w:t>
      </w:r>
    </w:p>
    <w:p w14:paraId="3F480E3B" w14:textId="292B86F1" w:rsidR="00975121" w:rsidRPr="005E53BF" w:rsidRDefault="00975121" w:rsidP="004C43E2">
      <w:pPr>
        <w:jc w:val="both"/>
        <w:rPr>
          <w:b/>
          <w:bCs/>
        </w:rPr>
      </w:pPr>
      <w:r w:rsidRPr="005E53BF">
        <w:rPr>
          <w:b/>
          <w:bCs/>
        </w:rPr>
        <w:t>2.3. Articulación con otras entidades</w:t>
      </w:r>
    </w:p>
    <w:p w14:paraId="4A56B8E3" w14:textId="16DF5DCB" w:rsidR="00975121" w:rsidRDefault="005E53BF" w:rsidP="004C43E2">
      <w:pPr>
        <w:jc w:val="both"/>
      </w:pPr>
      <w:r>
        <w:t>P</w:t>
      </w:r>
      <w:r w:rsidR="00975121">
        <w:t>rácticas y propuestas de relacionamiento con entidades externas al sector minero</w:t>
      </w:r>
      <w:r w:rsidR="00975121">
        <w:rPr>
          <w:rFonts w:ascii="Cambria Math" w:hAnsi="Cambria Math" w:cs="Cambria Math"/>
        </w:rPr>
        <w:t>‑</w:t>
      </w:r>
      <w:r w:rsidR="00975121">
        <w:t>energ</w:t>
      </w:r>
      <w:r w:rsidR="00975121">
        <w:rPr>
          <w:rFonts w:ascii="Calibri" w:hAnsi="Calibri" w:cs="Calibri"/>
        </w:rPr>
        <w:t>é</w:t>
      </w:r>
      <w:r w:rsidR="00975121">
        <w:t xml:space="preserve">tico, tanto del nivel nacional (otros ministerios, agencias estatales) como del nivel territorial (CAR, gobernaciones, alcaldías, asociaciones de municipios y departamentos). </w:t>
      </w:r>
    </w:p>
    <w:p w14:paraId="5E7B81DE" w14:textId="121DF33D" w:rsidR="00975121" w:rsidRPr="005E53BF" w:rsidRDefault="00975121" w:rsidP="004C43E2">
      <w:pPr>
        <w:jc w:val="both"/>
        <w:rPr>
          <w:b/>
          <w:bCs/>
        </w:rPr>
      </w:pPr>
      <w:r w:rsidRPr="005E53BF">
        <w:rPr>
          <w:b/>
          <w:bCs/>
        </w:rPr>
        <w:t>3. Dinámica de relacionamiento del sector con el legislativo</w:t>
      </w:r>
    </w:p>
    <w:p w14:paraId="734F90A0" w14:textId="2209315F" w:rsidR="00975121" w:rsidRPr="005E53BF" w:rsidRDefault="00975121" w:rsidP="004C43E2">
      <w:pPr>
        <w:jc w:val="both"/>
        <w:rPr>
          <w:b/>
          <w:bCs/>
        </w:rPr>
      </w:pPr>
      <w:r w:rsidRPr="005E53BF">
        <w:rPr>
          <w:b/>
          <w:bCs/>
        </w:rPr>
        <w:t>3.1. Cordialidad</w:t>
      </w:r>
    </w:p>
    <w:p w14:paraId="4E6C4648" w14:textId="77777777" w:rsidR="00975121" w:rsidRDefault="00975121" w:rsidP="004C43E2">
      <w:pPr>
        <w:jc w:val="both"/>
      </w:pPr>
    </w:p>
    <w:p w14:paraId="2AD1113F" w14:textId="7FC98493" w:rsidR="00975121" w:rsidRDefault="005E53BF" w:rsidP="004C43E2">
      <w:pPr>
        <w:jc w:val="both"/>
      </w:pPr>
      <w:r>
        <w:lastRenderedPageBreak/>
        <w:t xml:space="preserve">Es una </w:t>
      </w:r>
      <w:r w:rsidR="00975121">
        <w:t xml:space="preserve">dimensión interpersonal de la relación con el Congreso, cuando se la describe como “cordial”, basada en confianza, respeto y buen trato entre equipos técnicos del sector y equipos de congresistas. </w:t>
      </w:r>
    </w:p>
    <w:p w14:paraId="2A83AB8E" w14:textId="3F6C53E3" w:rsidR="00975121" w:rsidRPr="005E53BF" w:rsidRDefault="00975121" w:rsidP="004C43E2">
      <w:pPr>
        <w:jc w:val="both"/>
        <w:rPr>
          <w:b/>
          <w:bCs/>
        </w:rPr>
      </w:pPr>
      <w:r w:rsidRPr="005E53BF">
        <w:rPr>
          <w:b/>
          <w:bCs/>
        </w:rPr>
        <w:t>3.2. Reactividad</w:t>
      </w:r>
    </w:p>
    <w:p w14:paraId="18592F32" w14:textId="447DF7F2" w:rsidR="00975121" w:rsidRDefault="00975121" w:rsidP="004C43E2">
      <w:pPr>
        <w:jc w:val="both"/>
      </w:pPr>
      <w:r>
        <w:t>Se refiere a la lógica de respuesta rápida y bajo presión que caracteriza buena parte de la interacción con el Legislativo: solicitudes urgentes, plazos mínimos, necesidad de “evacuar” requerimientos en poco tiempo y sensación de estar permanentemente reaccionando a demandas que llegan desde el Congreso</w:t>
      </w:r>
      <w:r w:rsidR="004C43E2">
        <w:t>.</w:t>
      </w:r>
    </w:p>
    <w:p w14:paraId="49879718" w14:textId="562C6ECD" w:rsidR="00975121" w:rsidRPr="004C43E2" w:rsidRDefault="00975121" w:rsidP="004C43E2">
      <w:pPr>
        <w:jc w:val="both"/>
        <w:rPr>
          <w:b/>
          <w:bCs/>
        </w:rPr>
      </w:pPr>
      <w:r w:rsidRPr="004C43E2">
        <w:rPr>
          <w:b/>
          <w:bCs/>
        </w:rPr>
        <w:t>3.3. Desacople técnico</w:t>
      </w:r>
      <w:r w:rsidRPr="004C43E2">
        <w:rPr>
          <w:rFonts w:ascii="Cambria Math" w:hAnsi="Cambria Math" w:cs="Cambria Math"/>
          <w:b/>
          <w:bCs/>
        </w:rPr>
        <w:t>‑</w:t>
      </w:r>
      <w:r w:rsidRPr="004C43E2">
        <w:rPr>
          <w:b/>
          <w:bCs/>
        </w:rPr>
        <w:t>pol</w:t>
      </w:r>
      <w:r w:rsidRPr="004C43E2">
        <w:rPr>
          <w:rFonts w:ascii="Calibri" w:hAnsi="Calibri" w:cs="Calibri"/>
          <w:b/>
          <w:bCs/>
        </w:rPr>
        <w:t>í</w:t>
      </w:r>
      <w:r w:rsidRPr="004C43E2">
        <w:rPr>
          <w:b/>
          <w:bCs/>
        </w:rPr>
        <w:t>tico</w:t>
      </w:r>
    </w:p>
    <w:p w14:paraId="71BC43F7" w14:textId="1FDFEEAD" w:rsidR="004C43E2" w:rsidRDefault="00975121" w:rsidP="004C43E2">
      <w:pPr>
        <w:jc w:val="both"/>
      </w:pPr>
      <w:r>
        <w:t xml:space="preserve">Describe las situaciones en </w:t>
      </w:r>
      <w:r w:rsidR="004C43E2">
        <w:t xml:space="preserve">las </w:t>
      </w:r>
      <w:r>
        <w:t xml:space="preserve">que el Congreso formula consultas técnicas detalladas y las entidades generan respuestas de alto contenido especializado, pero ese insumo no se traduce en posiciones o intervenciones visibles en el debate parlamentario. </w:t>
      </w:r>
      <w:r w:rsidR="004C43E2">
        <w:t>Da cuenta de</w:t>
      </w:r>
      <w:r>
        <w:t xml:space="preserve"> un flujo intenso de información técnica que no </w:t>
      </w:r>
      <w:r w:rsidR="004C43E2">
        <w:t>se materializan</w:t>
      </w:r>
      <w:r>
        <w:t xml:space="preserve"> en decisiones políticas o en argumentación legislativa. </w:t>
      </w:r>
    </w:p>
    <w:p w14:paraId="2BC54DFF" w14:textId="411C757C" w:rsidR="00975121" w:rsidRPr="004C43E2" w:rsidRDefault="00975121" w:rsidP="004C43E2">
      <w:pPr>
        <w:jc w:val="both"/>
        <w:rPr>
          <w:b/>
          <w:bCs/>
        </w:rPr>
      </w:pPr>
      <w:r w:rsidRPr="004C43E2">
        <w:rPr>
          <w:b/>
          <w:bCs/>
        </w:rPr>
        <w:t>4. Transición energética justa</w:t>
      </w:r>
      <w:r w:rsidR="004C43E2">
        <w:rPr>
          <w:b/>
          <w:bCs/>
        </w:rPr>
        <w:t xml:space="preserve"> (TEJ)</w:t>
      </w:r>
    </w:p>
    <w:p w14:paraId="01C7BACC" w14:textId="24658668" w:rsidR="00975121" w:rsidRPr="004C43E2" w:rsidRDefault="00975121" w:rsidP="004C43E2">
      <w:pPr>
        <w:jc w:val="both"/>
        <w:rPr>
          <w:b/>
          <w:bCs/>
        </w:rPr>
      </w:pPr>
      <w:r w:rsidRPr="004C43E2">
        <w:rPr>
          <w:b/>
          <w:bCs/>
        </w:rPr>
        <w:t>4.1. Acciones territoriales</w:t>
      </w:r>
    </w:p>
    <w:p w14:paraId="04BB3880" w14:textId="0308D7CC" w:rsidR="00975121" w:rsidRDefault="00975121" w:rsidP="004C43E2">
      <w:pPr>
        <w:jc w:val="both"/>
      </w:pPr>
      <w:r>
        <w:t xml:space="preserve">Agrupa las referencias a actividades, proyectos y decisiones de transición energética que se despliegan en territorios específicos (departamentos, municipios, comunidades), </w:t>
      </w:r>
      <w:r w:rsidR="004C43E2">
        <w:t>o menciones a los mismos,</w:t>
      </w:r>
      <w:r>
        <w:t xml:space="preserve"> que se vinculan con el relacionamiento con el Congreso. </w:t>
      </w:r>
    </w:p>
    <w:p w14:paraId="686A1EA7" w14:textId="358EE5A5" w:rsidR="00975121" w:rsidRPr="004C43E2" w:rsidRDefault="00975121" w:rsidP="004C43E2">
      <w:pPr>
        <w:jc w:val="both"/>
        <w:rPr>
          <w:b/>
          <w:bCs/>
        </w:rPr>
      </w:pPr>
      <w:r w:rsidRPr="004C43E2">
        <w:rPr>
          <w:b/>
          <w:bCs/>
        </w:rPr>
        <w:t>4.2. Impacto ambiental</w:t>
      </w:r>
    </w:p>
    <w:p w14:paraId="4A26EB26" w14:textId="0E73E5A0" w:rsidR="00975121" w:rsidRDefault="004C43E2" w:rsidP="004C43E2">
      <w:pPr>
        <w:jc w:val="both"/>
      </w:pPr>
      <w:r>
        <w:t>A</w:t>
      </w:r>
      <w:r w:rsidR="00975121">
        <w:t>spectos de la transición energética que se centran en efectos sobre ecosistemas, recursos naturales y conflictos socioambientales: proyectos con afectación ambiental, consultas sobre intervención en páramos, controversias por uso o destrucción de maquinaria, tensión entre explotación de recursos y protección ambiental.</w:t>
      </w:r>
    </w:p>
    <w:p w14:paraId="61D5755C" w14:textId="77777777" w:rsidR="00975121" w:rsidRDefault="00975121" w:rsidP="004C43E2">
      <w:pPr>
        <w:jc w:val="both"/>
      </w:pPr>
    </w:p>
    <w:p w14:paraId="426884D9" w14:textId="0EFDCFFB" w:rsidR="006D36AA" w:rsidRDefault="004C43E2" w:rsidP="004C43E2">
      <w:pPr>
        <w:jc w:val="both"/>
        <w:rPr>
          <w:b/>
          <w:bCs/>
        </w:rPr>
      </w:pPr>
      <w:r w:rsidRPr="004C43E2">
        <w:rPr>
          <w:b/>
          <w:bCs/>
        </w:rPr>
        <w:t xml:space="preserve">II. </w:t>
      </w:r>
      <w:r w:rsidR="00975121" w:rsidRPr="004C43E2">
        <w:rPr>
          <w:b/>
          <w:bCs/>
        </w:rPr>
        <w:t>Matriz de análisis grupo focal – sector minero energético</w:t>
      </w:r>
    </w:p>
    <w:p w14:paraId="3A2099B1" w14:textId="4C0274E7" w:rsidR="004C43E2" w:rsidRDefault="004C43E2" w:rsidP="004C43E2">
      <w:pPr>
        <w:jc w:val="both"/>
        <w:rPr>
          <w:b/>
          <w:bCs/>
        </w:rPr>
      </w:pPr>
      <w:r>
        <w:rPr>
          <w:b/>
          <w:bCs/>
        </w:rPr>
        <w:t>Tabla 1.</w:t>
      </w:r>
    </w:p>
    <w:p w14:paraId="154B9C36" w14:textId="11C55DB1" w:rsidR="004C43E2" w:rsidRPr="004C43E2" w:rsidRDefault="00A166D3" w:rsidP="004C43E2">
      <w:pPr>
        <w:jc w:val="both"/>
      </w:pPr>
      <w:r>
        <w:t>Resumen</w:t>
      </w:r>
      <w:r w:rsidR="004C43E2" w:rsidRPr="004C43E2">
        <w:t xml:space="preserve"> de codificación del grupo focal</w:t>
      </w:r>
    </w:p>
    <w:tbl>
      <w:tblPr>
        <w:tblStyle w:val="Tablaconcuadrcula4-nfasis2"/>
        <w:tblW w:w="5000" w:type="pct"/>
        <w:tblLook w:val="04A0" w:firstRow="1" w:lastRow="0" w:firstColumn="1" w:lastColumn="0" w:noHBand="0" w:noVBand="1"/>
      </w:tblPr>
      <w:tblGrid>
        <w:gridCol w:w="2944"/>
        <w:gridCol w:w="2943"/>
        <w:gridCol w:w="2941"/>
      </w:tblGrid>
      <w:tr w:rsidR="00975121" w14:paraId="3F0FBB73" w14:textId="77777777" w:rsidTr="004C43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Align w:val="center"/>
          </w:tcPr>
          <w:p w14:paraId="111029A2" w14:textId="65501335" w:rsidR="00975121" w:rsidRDefault="00975121" w:rsidP="004C43E2">
            <w:pPr>
              <w:jc w:val="center"/>
            </w:pPr>
            <w:r>
              <w:t>Categoría</w:t>
            </w:r>
          </w:p>
        </w:tc>
        <w:tc>
          <w:tcPr>
            <w:tcW w:w="1667" w:type="pct"/>
            <w:vAlign w:val="center"/>
          </w:tcPr>
          <w:p w14:paraId="5E013D8D" w14:textId="6DB55419" w:rsidR="00975121" w:rsidRDefault="00975121" w:rsidP="004C43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Códigos</w:t>
            </w:r>
          </w:p>
        </w:tc>
        <w:tc>
          <w:tcPr>
            <w:tcW w:w="1667" w:type="pct"/>
            <w:vAlign w:val="center"/>
          </w:tcPr>
          <w:p w14:paraId="70A32D5A" w14:textId="25F886D4" w:rsidR="00975121" w:rsidRDefault="00975121" w:rsidP="004C43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Referencias encontradas</w:t>
            </w:r>
          </w:p>
        </w:tc>
      </w:tr>
      <w:tr w:rsidR="00975121" w14:paraId="60AD4FB2" w14:textId="77777777" w:rsidTr="004C43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Merge w:val="restart"/>
            <w:vAlign w:val="center"/>
          </w:tcPr>
          <w:p w14:paraId="5996F807" w14:textId="3F9A1B2E" w:rsidR="00975121" w:rsidRDefault="00975121" w:rsidP="004C43E2">
            <w:pPr>
              <w:jc w:val="center"/>
            </w:pPr>
            <w:r>
              <w:t>Análisis estratégico legislativo: = 18 referencias</w:t>
            </w:r>
          </w:p>
        </w:tc>
        <w:tc>
          <w:tcPr>
            <w:tcW w:w="1667" w:type="pct"/>
            <w:vAlign w:val="center"/>
          </w:tcPr>
          <w:p w14:paraId="557C554C" w14:textId="086C826F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Estrategias de relacionamiento y gobernanza legislativa</w:t>
            </w:r>
          </w:p>
        </w:tc>
        <w:tc>
          <w:tcPr>
            <w:tcW w:w="1667" w:type="pct"/>
            <w:vAlign w:val="center"/>
          </w:tcPr>
          <w:p w14:paraId="1DE120A0" w14:textId="3B294BBC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</w:p>
        </w:tc>
      </w:tr>
      <w:tr w:rsidR="00975121" w14:paraId="54EB9FD8" w14:textId="77777777" w:rsidTr="004C43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Merge/>
            <w:vAlign w:val="center"/>
          </w:tcPr>
          <w:p w14:paraId="73D75AFE" w14:textId="3EE72D2F" w:rsidR="00975121" w:rsidRDefault="00975121" w:rsidP="004C43E2">
            <w:pPr>
              <w:jc w:val="center"/>
            </w:pPr>
          </w:p>
        </w:tc>
        <w:tc>
          <w:tcPr>
            <w:tcW w:w="1667" w:type="pct"/>
            <w:vAlign w:val="center"/>
          </w:tcPr>
          <w:p w14:paraId="2876D55D" w14:textId="45D4A36E" w:rsidR="00975121" w:rsidRDefault="00975121" w:rsidP="004C4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Monitoreo legislativo</w:t>
            </w:r>
          </w:p>
        </w:tc>
        <w:tc>
          <w:tcPr>
            <w:tcW w:w="1667" w:type="pct"/>
            <w:vAlign w:val="center"/>
          </w:tcPr>
          <w:p w14:paraId="71E40DA0" w14:textId="3A4B3627" w:rsidR="00975121" w:rsidRDefault="00975121" w:rsidP="004C4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975121" w14:paraId="25AF4132" w14:textId="77777777" w:rsidTr="004C43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Merge/>
            <w:vAlign w:val="center"/>
          </w:tcPr>
          <w:p w14:paraId="6E6010E2" w14:textId="45BD47BB" w:rsidR="00975121" w:rsidRDefault="00975121" w:rsidP="004C43E2">
            <w:pPr>
              <w:jc w:val="center"/>
            </w:pPr>
          </w:p>
        </w:tc>
        <w:tc>
          <w:tcPr>
            <w:tcW w:w="1667" w:type="pct"/>
            <w:vAlign w:val="center"/>
          </w:tcPr>
          <w:p w14:paraId="75E2518F" w14:textId="098E9B44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Producción de conceptos técnicos</w:t>
            </w:r>
          </w:p>
        </w:tc>
        <w:tc>
          <w:tcPr>
            <w:tcW w:w="1667" w:type="pct"/>
            <w:vAlign w:val="center"/>
          </w:tcPr>
          <w:p w14:paraId="065FD65C" w14:textId="72693B40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975121" w14:paraId="74DD02E2" w14:textId="77777777" w:rsidTr="004C43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Merge w:val="restart"/>
            <w:vAlign w:val="center"/>
          </w:tcPr>
          <w:p w14:paraId="2F9E69FA" w14:textId="240807AD" w:rsidR="00975121" w:rsidRDefault="00975121" w:rsidP="004C43E2">
            <w:pPr>
              <w:jc w:val="center"/>
            </w:pPr>
            <w:r>
              <w:t>Articulación interinstitucional del sector = 16 referencias</w:t>
            </w:r>
          </w:p>
        </w:tc>
        <w:tc>
          <w:tcPr>
            <w:tcW w:w="1667" w:type="pct"/>
            <w:vAlign w:val="center"/>
          </w:tcPr>
          <w:p w14:paraId="1FB482C7" w14:textId="06AA8BA2" w:rsidR="00975121" w:rsidRDefault="00975121" w:rsidP="004C4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Coordinación </w:t>
            </w:r>
            <w:proofErr w:type="spellStart"/>
            <w:r>
              <w:t>intrasectorial</w:t>
            </w:r>
            <w:proofErr w:type="spellEnd"/>
          </w:p>
        </w:tc>
        <w:tc>
          <w:tcPr>
            <w:tcW w:w="1667" w:type="pct"/>
            <w:vAlign w:val="center"/>
          </w:tcPr>
          <w:p w14:paraId="6B09DFD6" w14:textId="57BB79DA" w:rsidR="00975121" w:rsidRDefault="00975121" w:rsidP="004C4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975121" w14:paraId="002F1389" w14:textId="77777777" w:rsidTr="004C43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Merge/>
            <w:vAlign w:val="center"/>
          </w:tcPr>
          <w:p w14:paraId="5DC498E7" w14:textId="77777777" w:rsidR="00975121" w:rsidRDefault="00975121" w:rsidP="004C43E2">
            <w:pPr>
              <w:jc w:val="center"/>
            </w:pPr>
          </w:p>
        </w:tc>
        <w:tc>
          <w:tcPr>
            <w:tcW w:w="1667" w:type="pct"/>
            <w:vAlign w:val="center"/>
          </w:tcPr>
          <w:p w14:paraId="3409E71D" w14:textId="39510A05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Tensiones</w:t>
            </w:r>
          </w:p>
        </w:tc>
        <w:tc>
          <w:tcPr>
            <w:tcW w:w="1667" w:type="pct"/>
            <w:vAlign w:val="center"/>
          </w:tcPr>
          <w:p w14:paraId="7AF410A2" w14:textId="74FA3954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975121" w14:paraId="4172973E" w14:textId="77777777" w:rsidTr="004C43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Merge/>
            <w:vAlign w:val="center"/>
          </w:tcPr>
          <w:p w14:paraId="290D2BD6" w14:textId="77777777" w:rsidR="00975121" w:rsidRDefault="00975121" w:rsidP="004C43E2">
            <w:pPr>
              <w:jc w:val="center"/>
            </w:pPr>
          </w:p>
        </w:tc>
        <w:tc>
          <w:tcPr>
            <w:tcW w:w="1667" w:type="pct"/>
            <w:vAlign w:val="center"/>
          </w:tcPr>
          <w:p w14:paraId="2EA2F3BB" w14:textId="42E8CF77" w:rsidR="00975121" w:rsidRDefault="00975121" w:rsidP="004C4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Articulación con otras entidades</w:t>
            </w:r>
          </w:p>
        </w:tc>
        <w:tc>
          <w:tcPr>
            <w:tcW w:w="1667" w:type="pct"/>
            <w:vAlign w:val="center"/>
          </w:tcPr>
          <w:p w14:paraId="3C6D2008" w14:textId="5FEEC5A3" w:rsidR="00975121" w:rsidRDefault="00975121" w:rsidP="004C4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</w:tr>
      <w:tr w:rsidR="00975121" w14:paraId="1FB85814" w14:textId="77777777" w:rsidTr="004C43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Merge w:val="restart"/>
            <w:vAlign w:val="center"/>
          </w:tcPr>
          <w:p w14:paraId="4F64D05D" w14:textId="41B8E37C" w:rsidR="00975121" w:rsidRDefault="00975121" w:rsidP="004C43E2">
            <w:pPr>
              <w:jc w:val="center"/>
            </w:pPr>
            <w:r>
              <w:t>Dinámica de relacionamiento del sector con el legislativo = 6 referencias</w:t>
            </w:r>
          </w:p>
        </w:tc>
        <w:tc>
          <w:tcPr>
            <w:tcW w:w="1667" w:type="pct"/>
            <w:vAlign w:val="center"/>
          </w:tcPr>
          <w:p w14:paraId="6139631F" w14:textId="7EC78C04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Cordialidad</w:t>
            </w:r>
          </w:p>
        </w:tc>
        <w:tc>
          <w:tcPr>
            <w:tcW w:w="1667" w:type="pct"/>
            <w:vAlign w:val="center"/>
          </w:tcPr>
          <w:p w14:paraId="719C9977" w14:textId="6CFBE7C2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975121" w14:paraId="6E296DBD" w14:textId="77777777" w:rsidTr="004C43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Merge/>
            <w:vAlign w:val="center"/>
          </w:tcPr>
          <w:p w14:paraId="4D0F18E2" w14:textId="77777777" w:rsidR="00975121" w:rsidRDefault="00975121" w:rsidP="004C43E2">
            <w:pPr>
              <w:jc w:val="center"/>
            </w:pPr>
          </w:p>
        </w:tc>
        <w:tc>
          <w:tcPr>
            <w:tcW w:w="1667" w:type="pct"/>
            <w:vAlign w:val="center"/>
          </w:tcPr>
          <w:p w14:paraId="795AF168" w14:textId="0ED64DFE" w:rsidR="00975121" w:rsidRDefault="00975121" w:rsidP="004C4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Reactividad</w:t>
            </w:r>
          </w:p>
        </w:tc>
        <w:tc>
          <w:tcPr>
            <w:tcW w:w="1667" w:type="pct"/>
            <w:vAlign w:val="center"/>
          </w:tcPr>
          <w:p w14:paraId="30EC23E2" w14:textId="16F6E3E8" w:rsidR="00975121" w:rsidRDefault="00975121" w:rsidP="004C4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</w:tr>
      <w:tr w:rsidR="00975121" w14:paraId="60332F06" w14:textId="77777777" w:rsidTr="004C43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Merge/>
            <w:vAlign w:val="center"/>
          </w:tcPr>
          <w:p w14:paraId="4663E74B" w14:textId="77777777" w:rsidR="00975121" w:rsidRDefault="00975121" w:rsidP="004C43E2">
            <w:pPr>
              <w:jc w:val="center"/>
            </w:pPr>
          </w:p>
        </w:tc>
        <w:tc>
          <w:tcPr>
            <w:tcW w:w="1667" w:type="pct"/>
            <w:vAlign w:val="center"/>
          </w:tcPr>
          <w:p w14:paraId="638C6ACD" w14:textId="480B8898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Desacople técnico-político</w:t>
            </w:r>
          </w:p>
        </w:tc>
        <w:tc>
          <w:tcPr>
            <w:tcW w:w="1667" w:type="pct"/>
            <w:vAlign w:val="center"/>
          </w:tcPr>
          <w:p w14:paraId="1CEA3655" w14:textId="1891FA73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975121" w14:paraId="35AC3ECB" w14:textId="77777777" w:rsidTr="004C43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Merge w:val="restart"/>
            <w:vAlign w:val="center"/>
          </w:tcPr>
          <w:p w14:paraId="162F0676" w14:textId="75F6E411" w:rsidR="00975121" w:rsidRDefault="00975121" w:rsidP="004C43E2">
            <w:pPr>
              <w:jc w:val="center"/>
            </w:pPr>
            <w:r>
              <w:t>TEJ = 6 referencias</w:t>
            </w:r>
          </w:p>
        </w:tc>
        <w:tc>
          <w:tcPr>
            <w:tcW w:w="1667" w:type="pct"/>
            <w:vAlign w:val="center"/>
          </w:tcPr>
          <w:p w14:paraId="16C6B217" w14:textId="44C78B5E" w:rsidR="00975121" w:rsidRDefault="00975121" w:rsidP="004C4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Acciones territoriales</w:t>
            </w:r>
          </w:p>
        </w:tc>
        <w:tc>
          <w:tcPr>
            <w:tcW w:w="1667" w:type="pct"/>
            <w:vAlign w:val="center"/>
          </w:tcPr>
          <w:p w14:paraId="5FAAC74A" w14:textId="363A7E59" w:rsidR="00975121" w:rsidRDefault="00975121" w:rsidP="004C4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</w:tr>
      <w:tr w:rsidR="00975121" w14:paraId="32CCB24F" w14:textId="77777777" w:rsidTr="004C43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Merge/>
            <w:vAlign w:val="center"/>
          </w:tcPr>
          <w:p w14:paraId="2BF1D494" w14:textId="77777777" w:rsidR="00975121" w:rsidRDefault="00975121" w:rsidP="004C43E2">
            <w:pPr>
              <w:jc w:val="center"/>
            </w:pPr>
          </w:p>
        </w:tc>
        <w:tc>
          <w:tcPr>
            <w:tcW w:w="1667" w:type="pct"/>
            <w:vAlign w:val="center"/>
          </w:tcPr>
          <w:p w14:paraId="5DE6C686" w14:textId="1524BE52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Impacto ambiental</w:t>
            </w:r>
          </w:p>
        </w:tc>
        <w:tc>
          <w:tcPr>
            <w:tcW w:w="1667" w:type="pct"/>
            <w:vAlign w:val="center"/>
          </w:tcPr>
          <w:p w14:paraId="795AFDEF" w14:textId="7D0DF711" w:rsidR="00975121" w:rsidRDefault="00975121" w:rsidP="004C4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6133C17A" w14:textId="3A325563" w:rsidR="00975121" w:rsidRDefault="0089068C" w:rsidP="004C43E2">
      <w:pPr>
        <w:jc w:val="both"/>
      </w:pPr>
      <w:r>
        <w:t xml:space="preserve">Fuente: Elaboración propia utilizando el programa </w:t>
      </w:r>
      <w:proofErr w:type="spellStart"/>
      <w:r>
        <w:t>NVivo</w:t>
      </w:r>
      <w:proofErr w:type="spellEnd"/>
      <w:r>
        <w:t>.</w:t>
      </w:r>
    </w:p>
    <w:p w14:paraId="02741128" w14:textId="77777777" w:rsidR="00A166D3" w:rsidRDefault="00A166D3" w:rsidP="004C43E2">
      <w:pPr>
        <w:jc w:val="both"/>
      </w:pPr>
    </w:p>
    <w:sectPr w:rsidR="00A166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0A9"/>
    <w:rsid w:val="001614AC"/>
    <w:rsid w:val="001F7537"/>
    <w:rsid w:val="004C43E2"/>
    <w:rsid w:val="005E53BF"/>
    <w:rsid w:val="006D36AA"/>
    <w:rsid w:val="0089068C"/>
    <w:rsid w:val="00975121"/>
    <w:rsid w:val="00A166D3"/>
    <w:rsid w:val="00BC00A9"/>
    <w:rsid w:val="00E9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FBF87"/>
  <w15:chartTrackingRefBased/>
  <w15:docId w15:val="{901C25CE-7C30-4BBB-B41A-6C61F92D6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75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4-nfasis2">
    <w:name w:val="Grid Table 4 Accent 2"/>
    <w:basedOn w:val="Tablanormal"/>
    <w:uiPriority w:val="49"/>
    <w:rsid w:val="004C43E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4-nfasis5">
    <w:name w:val="Grid Table 4 Accent 5"/>
    <w:basedOn w:val="Tablanormal"/>
    <w:uiPriority w:val="49"/>
    <w:rsid w:val="00A166D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6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CD901C4501449A86A24F4F0AC0678" ma:contentTypeVersion="18" ma:contentTypeDescription="Create a new document." ma:contentTypeScope="" ma:versionID="0dfda8942a5c79331ee6e0d1f814189e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4d313df37cc51e578daa7f6737a4aa7e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2cf36f9-85c4-45f3-b290-a3d33fbf27e1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278BA8-23DD-4043-9101-8A856B796981}"/>
</file>

<file path=customXml/itemProps2.xml><?xml version="1.0" encoding="utf-8"?>
<ds:datastoreItem xmlns:ds="http://schemas.openxmlformats.org/officeDocument/2006/customXml" ds:itemID="{D47B2FD2-2D69-43D4-81A4-0F2087861E2D}"/>
</file>

<file path=customXml/itemProps3.xml><?xml version="1.0" encoding="utf-8"?>
<ds:datastoreItem xmlns:ds="http://schemas.openxmlformats.org/officeDocument/2006/customXml" ds:itemID="{90217202-0E28-429C-8B66-1F4968592D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700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MARCELA PINZON ROJAS</dc:creator>
  <cp:keywords/>
  <dc:description/>
  <cp:lastModifiedBy>CLAUDIA MARCELA PINZON ROJAS</cp:lastModifiedBy>
  <cp:revision>7</cp:revision>
  <dcterms:created xsi:type="dcterms:W3CDTF">2026-07-13T22:53:00Z</dcterms:created>
  <dcterms:modified xsi:type="dcterms:W3CDTF">2026-07-13T23:38:00Z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0x01010005CCD901C4501449A86A24F4F0AC0678</vt:lpwstr>
  </property>
</Properties>
</file>